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44"/>
        <w:tblW w:w="110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00" w:firstRow="0" w:lastRow="0" w:firstColumn="0" w:lastColumn="0" w:noHBand="0" w:noVBand="1"/>
      </w:tblPr>
      <w:tblGrid>
        <w:gridCol w:w="2160"/>
        <w:gridCol w:w="8910"/>
      </w:tblGrid>
      <w:tr w:rsidR="00027E05" w:rsidRPr="00027E05" w:rsidTr="00671A14">
        <w:tc>
          <w:tcPr>
            <w:tcW w:w="216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  <w:r w:rsidR="00A3299E">
              <w:rPr>
                <w:rFonts w:ascii="Comic Sans MS" w:hAnsi="Comic Sans MS"/>
                <w:b/>
                <w:sz w:val="20"/>
                <w:szCs w:val="20"/>
              </w:rPr>
              <w:t xml:space="preserve"> or Connections</w:t>
            </w: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Civics Learning Targets</w:t>
            </w:r>
          </w:p>
        </w:tc>
      </w:tr>
      <w:tr w:rsidR="00027E05" w:rsidRPr="00027E05" w:rsidTr="00671A14">
        <w:tc>
          <w:tcPr>
            <w:tcW w:w="11070" w:type="dxa"/>
            <w:gridSpan w:val="2"/>
          </w:tcPr>
          <w:p w:rsidR="00027E05" w:rsidRPr="00DE418A" w:rsidRDefault="00027E05" w:rsidP="00A3299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bCs/>
                <w:sz w:val="20"/>
                <w:szCs w:val="20"/>
              </w:rPr>
              <w:t>SS.7.C.3.1 Compare different forms of government (direct democracy, representative democracy, socialism, communism, monarchy, oligarchy, autocracy).</w:t>
            </w:r>
          </w:p>
        </w:tc>
      </w:tr>
      <w:tr w:rsidR="00027E05" w:rsidRPr="00027E05" w:rsidTr="00671A14">
        <w:trPr>
          <w:trHeight w:val="2521"/>
        </w:trPr>
        <w:tc>
          <w:tcPr>
            <w:tcW w:w="2160" w:type="dxa"/>
          </w:tcPr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 define each type of government</w:t>
            </w:r>
          </w:p>
          <w:p w:rsidR="000F282B" w:rsidRDefault="000F282B" w:rsidP="00583A1C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Anarchy-</w:t>
            </w:r>
          </w:p>
          <w:p w:rsidR="00027E05" w:rsidRDefault="00027E05" w:rsidP="00583A1C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Direct Democracy – </w:t>
            </w:r>
          </w:p>
          <w:p w:rsidR="0082388D" w:rsidRPr="00DE418A" w:rsidRDefault="0082388D" w:rsidP="00583A1C">
            <w:pPr>
              <w:numPr>
                <w:ilvl w:val="0"/>
                <w:numId w:val="2"/>
              </w:numPr>
              <w:spacing w:after="0" w:line="480" w:lineRule="auto"/>
              <w:ind w:left="1147" w:firstLine="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:rsidR="00615385" w:rsidRDefault="00027E05" w:rsidP="00583A1C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Representative Democracy </w:t>
            </w:r>
            <w:r w:rsidR="000F5C90">
              <w:rPr>
                <w:rFonts w:ascii="Comic Sans MS" w:hAnsi="Comic Sans MS"/>
                <w:sz w:val="20"/>
                <w:szCs w:val="20"/>
              </w:rPr>
              <w:t>(AKA Republic)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:rsidR="0082388D" w:rsidRDefault="0082388D" w:rsidP="00583A1C">
            <w:pPr>
              <w:numPr>
                <w:ilvl w:val="0"/>
                <w:numId w:val="2"/>
              </w:numPr>
              <w:spacing w:after="0" w:line="480" w:lineRule="auto"/>
              <w:ind w:left="1147" w:firstLine="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:rsidR="00583A1C" w:rsidRPr="00583A1C" w:rsidRDefault="00615385" w:rsidP="00583A1C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Monarchy- </w:t>
            </w:r>
          </w:p>
          <w:p w:rsidR="00027E05" w:rsidRDefault="00027E05" w:rsidP="00583A1C">
            <w:pPr>
              <w:numPr>
                <w:ilvl w:val="0"/>
                <w:numId w:val="2"/>
              </w:numPr>
              <w:spacing w:after="0" w:line="480" w:lineRule="auto"/>
              <w:ind w:left="877" w:hanging="157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Absolute Monarchy – </w:t>
            </w:r>
          </w:p>
          <w:p w:rsidR="00583A1C" w:rsidRDefault="00583A1C" w:rsidP="00583A1C">
            <w:pPr>
              <w:spacing w:after="0" w:line="480" w:lineRule="auto"/>
              <w:ind w:left="877"/>
              <w:rPr>
                <w:rFonts w:ascii="Comic Sans MS" w:hAnsi="Comic Sans MS"/>
                <w:sz w:val="20"/>
                <w:szCs w:val="20"/>
              </w:rPr>
            </w:pPr>
          </w:p>
          <w:p w:rsidR="00210BDD" w:rsidRDefault="00210BDD" w:rsidP="00583A1C">
            <w:pPr>
              <w:numPr>
                <w:ilvl w:val="0"/>
                <w:numId w:val="2"/>
              </w:numPr>
              <w:spacing w:after="0" w:line="480" w:lineRule="auto"/>
              <w:ind w:firstLine="51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:rsidR="00114C86" w:rsidRDefault="004545AD" w:rsidP="00583A1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607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14C86" w:rsidRPr="004545AD">
              <w:rPr>
                <w:rFonts w:ascii="Comic Sans MS" w:hAnsi="Comic Sans MS"/>
                <w:sz w:val="20"/>
                <w:szCs w:val="20"/>
              </w:rPr>
              <w:t>Constitutional Monarchy –</w:t>
            </w:r>
          </w:p>
          <w:p w:rsidR="00583A1C" w:rsidRPr="004545AD" w:rsidRDefault="00583A1C" w:rsidP="00583A1C">
            <w:pPr>
              <w:pStyle w:val="ListParagraph"/>
              <w:spacing w:after="0" w:line="480" w:lineRule="auto"/>
              <w:ind w:left="607"/>
              <w:rPr>
                <w:rFonts w:ascii="Comic Sans MS" w:hAnsi="Comic Sans MS"/>
                <w:sz w:val="20"/>
                <w:szCs w:val="20"/>
              </w:rPr>
            </w:pPr>
          </w:p>
          <w:p w:rsidR="00583A1C" w:rsidRPr="00583A1C" w:rsidRDefault="00210BDD" w:rsidP="00583A1C">
            <w:pPr>
              <w:numPr>
                <w:ilvl w:val="0"/>
                <w:numId w:val="2"/>
              </w:numPr>
              <w:spacing w:after="0" w:line="480" w:lineRule="auto"/>
              <w:ind w:firstLine="51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Example: </w:t>
            </w:r>
          </w:p>
          <w:p w:rsidR="00027E05" w:rsidRDefault="00027E05" w:rsidP="00583A1C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Oligarchy </w:t>
            </w:r>
            <w:r w:rsidR="0061538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:rsidR="00210BDD" w:rsidRPr="00DE418A" w:rsidRDefault="00B96310" w:rsidP="00583A1C">
            <w:pPr>
              <w:numPr>
                <w:ilvl w:val="0"/>
                <w:numId w:val="2"/>
              </w:numPr>
              <w:spacing w:after="0"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10BDD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:rsidR="00027E05" w:rsidRDefault="00027E05" w:rsidP="00583A1C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Autocracy – </w:t>
            </w:r>
          </w:p>
          <w:p w:rsidR="00303EE9" w:rsidRDefault="00B96310" w:rsidP="00583A1C">
            <w:pPr>
              <w:numPr>
                <w:ilvl w:val="0"/>
                <w:numId w:val="2"/>
              </w:numPr>
              <w:spacing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10BDD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:rsidR="00B96310" w:rsidRDefault="00B96310" w:rsidP="00583A1C">
            <w:pPr>
              <w:numPr>
                <w:ilvl w:val="0"/>
                <w:numId w:val="2"/>
              </w:numPr>
              <w:spacing w:line="480" w:lineRule="auto"/>
              <w:ind w:hanging="29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Theocracy- </w:t>
            </w:r>
          </w:p>
          <w:p w:rsidR="00B96310" w:rsidRDefault="00B96310" w:rsidP="00583A1C">
            <w:pPr>
              <w:numPr>
                <w:ilvl w:val="0"/>
                <w:numId w:val="2"/>
              </w:numPr>
              <w:spacing w:line="480" w:lineRule="auto"/>
              <w:ind w:firstLine="60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Example: </w:t>
            </w:r>
            <w:r w:rsidR="00303EE9" w:rsidRPr="000A072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83A1C" w:rsidRDefault="00583A1C" w:rsidP="000A0721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83A1C" w:rsidRPr="000A0721" w:rsidRDefault="00583A1C" w:rsidP="000A0721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7E05" w:rsidRPr="00027E05" w:rsidTr="00671A14">
        <w:trPr>
          <w:trHeight w:val="80"/>
        </w:trPr>
        <w:tc>
          <w:tcPr>
            <w:tcW w:w="11070" w:type="dxa"/>
            <w:gridSpan w:val="2"/>
          </w:tcPr>
          <w:p w:rsidR="00027E05" w:rsidRPr="00DE418A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-Bold"/>
                <w:b/>
                <w:bCs/>
                <w:sz w:val="24"/>
                <w:szCs w:val="24"/>
              </w:rPr>
            </w:pPr>
            <w:r w:rsidRPr="00DE418A">
              <w:rPr>
                <w:rFonts w:ascii="Comic Sans MS" w:eastAsiaTheme="minorHAnsi" w:hAnsi="Comic Sans MS" w:cs="Calibri-Bold"/>
                <w:b/>
                <w:bCs/>
                <w:sz w:val="24"/>
                <w:szCs w:val="24"/>
              </w:rPr>
              <w:lastRenderedPageBreak/>
              <w:t>SS.7.C.3.2 Compare parliamentary, federal, confederal, and unitary systems of government.</w:t>
            </w:r>
          </w:p>
        </w:tc>
      </w:tr>
      <w:tr w:rsidR="00027E05" w:rsidRPr="00027E05" w:rsidTr="00671A14">
        <w:trPr>
          <w:trHeight w:val="80"/>
        </w:trPr>
        <w:tc>
          <w:tcPr>
            <w:tcW w:w="2160" w:type="dxa"/>
          </w:tcPr>
          <w:p w:rsidR="00027E05" w:rsidRPr="00DE418A" w:rsidRDefault="00027E05" w:rsidP="00A3299E"/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define each system of government</w:t>
            </w:r>
          </w:p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2388D" w:rsidRDefault="00027E05" w:rsidP="00027E0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Parliamentary – </w:t>
            </w:r>
          </w:p>
          <w:p w:rsidR="00027E05" w:rsidRPr="00DE418A" w:rsidRDefault="00005501" w:rsidP="0082388D">
            <w:pPr>
              <w:numPr>
                <w:ilvl w:val="0"/>
                <w:numId w:val="3"/>
              </w:numPr>
              <w:spacing w:after="0" w:line="240" w:lineRule="auto"/>
              <w:ind w:hanging="2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Example: </w:t>
            </w:r>
          </w:p>
          <w:p w:rsidR="00027E05" w:rsidRPr="00DE418A" w:rsidRDefault="00027E05" w:rsidP="00027E05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DE418A" w:rsidRDefault="00027E05" w:rsidP="00027E0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Federal – </w:t>
            </w:r>
          </w:p>
          <w:p w:rsidR="00027E05" w:rsidRPr="0082388D" w:rsidRDefault="00027E05" w:rsidP="008238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3"/>
              <w:rPr>
                <w:rFonts w:ascii="Comic Sans MS" w:hAnsi="Comic Sans MS"/>
                <w:sz w:val="20"/>
                <w:szCs w:val="20"/>
              </w:rPr>
            </w:pPr>
            <w:r w:rsidRPr="0082388D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05501" w:rsidRPr="004545AD" w:rsidRDefault="00027E05" w:rsidP="004545AD">
            <w:pPr>
              <w:numPr>
                <w:ilvl w:val="0"/>
                <w:numId w:val="3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Confederal –</w:t>
            </w:r>
          </w:p>
          <w:p w:rsidR="00027E05" w:rsidRDefault="00027E05" w:rsidP="00005501">
            <w:pPr>
              <w:numPr>
                <w:ilvl w:val="0"/>
                <w:numId w:val="3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Unita</w:t>
            </w:r>
            <w:r w:rsidR="0082388D">
              <w:rPr>
                <w:rFonts w:ascii="Comic Sans MS" w:hAnsi="Comic Sans MS"/>
                <w:sz w:val="20"/>
                <w:szCs w:val="20"/>
              </w:rPr>
              <w:t xml:space="preserve">ry – </w:t>
            </w:r>
          </w:p>
          <w:p w:rsidR="0082388D" w:rsidRPr="00DE418A" w:rsidRDefault="0082388D" w:rsidP="000055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="67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</w:tc>
      </w:tr>
    </w:tbl>
    <w:tbl>
      <w:tblPr>
        <w:tblStyle w:val="TableGrid"/>
        <w:tblpPr w:leftFromText="180" w:rightFromText="180" w:vertAnchor="page" w:horzAnchor="margin" w:tblpY="6878"/>
        <w:tblW w:w="0" w:type="auto"/>
        <w:tblLook w:val="04A0" w:firstRow="1" w:lastRow="0" w:firstColumn="1" w:lastColumn="0" w:noHBand="0" w:noVBand="1"/>
      </w:tblPr>
      <w:tblGrid>
        <w:gridCol w:w="6318"/>
        <w:gridCol w:w="4230"/>
      </w:tblGrid>
      <w:tr w:rsidR="0036768E" w:rsidRPr="000A0721" w:rsidTr="000A0721">
        <w:tc>
          <w:tcPr>
            <w:tcW w:w="6318" w:type="dxa"/>
          </w:tcPr>
          <w:p w:rsidR="0036768E" w:rsidRPr="000A0721" w:rsidRDefault="0036768E" w:rsidP="004E7D0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Cs w:val="23"/>
              </w:rPr>
            </w:pPr>
            <w:r w:rsidRPr="000A0721">
              <w:rPr>
                <w:rFonts w:ascii="Arial Narrow" w:hAnsi="Arial Narrow" w:cs="ArialMT"/>
                <w:b/>
                <w:szCs w:val="23"/>
              </w:rPr>
              <w:t>Example:</w:t>
            </w:r>
          </w:p>
        </w:tc>
        <w:tc>
          <w:tcPr>
            <w:tcW w:w="4230" w:type="dxa"/>
          </w:tcPr>
          <w:p w:rsidR="0036768E" w:rsidRPr="000A0721" w:rsidRDefault="0036768E" w:rsidP="004E7D07">
            <w:pPr>
              <w:rPr>
                <w:rFonts w:ascii="Arial Narrow" w:hAnsi="Arial Narrow"/>
                <w:b/>
              </w:rPr>
            </w:pPr>
            <w:r w:rsidRPr="000A0721">
              <w:rPr>
                <w:rFonts w:ascii="Arial Narrow" w:hAnsi="Arial Narrow"/>
                <w:b/>
              </w:rPr>
              <w:t xml:space="preserve">Form of Government: </w:t>
            </w:r>
          </w:p>
        </w:tc>
      </w:tr>
      <w:tr w:rsidR="0036768E" w:rsidTr="000A0721">
        <w:tc>
          <w:tcPr>
            <w:tcW w:w="6318" w:type="dxa"/>
          </w:tcPr>
          <w:p w:rsidR="0036768E" w:rsidRPr="0036768E" w:rsidRDefault="0036768E" w:rsidP="004E7D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6768E">
              <w:rPr>
                <w:rFonts w:ascii="Arial Narrow" w:hAnsi="Arial Narrow" w:cs="ArialMT"/>
                <w:sz w:val="20"/>
                <w:szCs w:val="20"/>
              </w:rPr>
              <w:t>Some Native American tribes organize themselves by having all male adult members of the tribe vote to make changes to the laws.</w:t>
            </w:r>
          </w:p>
        </w:tc>
        <w:tc>
          <w:tcPr>
            <w:tcW w:w="4230" w:type="dxa"/>
          </w:tcPr>
          <w:p w:rsidR="0036768E" w:rsidRPr="00BD1CA0" w:rsidRDefault="0036768E" w:rsidP="004E7D07">
            <w:pPr>
              <w:rPr>
                <w:rFonts w:ascii="Arial Narrow" w:hAnsi="Arial Narrow"/>
              </w:rPr>
            </w:pPr>
          </w:p>
        </w:tc>
      </w:tr>
      <w:tr w:rsidR="0036768E" w:rsidTr="000A0721">
        <w:tc>
          <w:tcPr>
            <w:tcW w:w="6318" w:type="dxa"/>
          </w:tcPr>
          <w:p w:rsidR="0036768E" w:rsidRPr="0036768E" w:rsidRDefault="0036768E" w:rsidP="004E7D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6768E">
              <w:rPr>
                <w:rFonts w:ascii="Arial Narrow" w:hAnsi="Arial Narrow" w:cs="ArialMT"/>
                <w:sz w:val="20"/>
                <w:szCs w:val="20"/>
              </w:rPr>
              <w:t>In the 20th century, royalty have generally become symbols of national unity, while real power is usually held by elected officials who follow a constitution.</w:t>
            </w:r>
          </w:p>
        </w:tc>
        <w:tc>
          <w:tcPr>
            <w:tcW w:w="4230" w:type="dxa"/>
          </w:tcPr>
          <w:p w:rsidR="0036768E" w:rsidRPr="00BD1CA0" w:rsidRDefault="0036768E" w:rsidP="004E7D07">
            <w:pPr>
              <w:rPr>
                <w:rFonts w:ascii="Arial Narrow" w:hAnsi="Arial Narrow"/>
              </w:rPr>
            </w:pPr>
          </w:p>
        </w:tc>
      </w:tr>
      <w:tr w:rsidR="0036768E" w:rsidTr="000A0721">
        <w:tc>
          <w:tcPr>
            <w:tcW w:w="6318" w:type="dxa"/>
          </w:tcPr>
          <w:p w:rsidR="0036768E" w:rsidRPr="0036768E" w:rsidRDefault="0036768E" w:rsidP="004E7D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6768E">
              <w:rPr>
                <w:rFonts w:ascii="Arial Narrow" w:hAnsi="Arial Narrow" w:cs="ArialMT"/>
                <w:sz w:val="20"/>
                <w:szCs w:val="20"/>
              </w:rPr>
              <w:t>In England in 1215, a small group of wealthy, powerful men forced the king to share power with them.</w:t>
            </w:r>
          </w:p>
        </w:tc>
        <w:tc>
          <w:tcPr>
            <w:tcW w:w="4230" w:type="dxa"/>
          </w:tcPr>
          <w:p w:rsidR="0036768E" w:rsidRPr="00BD1CA0" w:rsidRDefault="0036768E" w:rsidP="004E7D07">
            <w:pPr>
              <w:rPr>
                <w:rFonts w:ascii="Arial Narrow" w:hAnsi="Arial Narrow"/>
              </w:rPr>
            </w:pPr>
          </w:p>
        </w:tc>
      </w:tr>
      <w:tr w:rsidR="0036768E" w:rsidTr="000A0721">
        <w:tc>
          <w:tcPr>
            <w:tcW w:w="6318" w:type="dxa"/>
          </w:tcPr>
          <w:p w:rsidR="0036768E" w:rsidRPr="0036768E" w:rsidRDefault="0036768E" w:rsidP="004E7D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6768E">
              <w:rPr>
                <w:rFonts w:ascii="Arial Narrow" w:hAnsi="Arial Narrow" w:cs="ArialMT"/>
                <w:sz w:val="20"/>
                <w:szCs w:val="20"/>
              </w:rPr>
              <w:t xml:space="preserve">Most of the leaders who started World War I were the few remaining absolute monarchs of Europe. In World War II, many who started the war were </w:t>
            </w:r>
            <w:r w:rsidRPr="0036768E">
              <w:rPr>
                <w:rFonts w:ascii="Arial Narrow" w:hAnsi="Arial Narrow" w:cs="Arial-BoldMT"/>
                <w:bCs/>
                <w:sz w:val="20"/>
                <w:szCs w:val="20"/>
              </w:rPr>
              <w:t>dictators</w:t>
            </w:r>
            <w:r w:rsidRPr="0036768E">
              <w:rPr>
                <w:rFonts w:ascii="Arial Narrow" w:hAnsi="Arial Narrow" w:cs="ArialMT"/>
                <w:sz w:val="20"/>
                <w:szCs w:val="20"/>
              </w:rPr>
              <w:t xml:space="preserve">, such as those in Germany, Japan, and Italy. </w:t>
            </w:r>
          </w:p>
        </w:tc>
        <w:tc>
          <w:tcPr>
            <w:tcW w:w="4230" w:type="dxa"/>
          </w:tcPr>
          <w:p w:rsidR="0036768E" w:rsidRPr="00BD1CA0" w:rsidRDefault="0036768E" w:rsidP="004E7D07">
            <w:pPr>
              <w:rPr>
                <w:rFonts w:ascii="Arial Narrow" w:hAnsi="Arial Narrow"/>
              </w:rPr>
            </w:pPr>
          </w:p>
        </w:tc>
      </w:tr>
      <w:tr w:rsidR="0036768E" w:rsidTr="000A0721">
        <w:tc>
          <w:tcPr>
            <w:tcW w:w="6318" w:type="dxa"/>
          </w:tcPr>
          <w:p w:rsidR="0036768E" w:rsidRPr="0036768E" w:rsidRDefault="0036768E" w:rsidP="004E7D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6768E">
              <w:rPr>
                <w:rFonts w:ascii="Arial Narrow" w:hAnsi="Arial Narrow" w:cs="ArialMT"/>
                <w:sz w:val="20"/>
                <w:szCs w:val="20"/>
              </w:rPr>
              <w:t>In early European history, government power was held by kings and queens who ruled with unlimited powers.</w:t>
            </w:r>
          </w:p>
        </w:tc>
        <w:tc>
          <w:tcPr>
            <w:tcW w:w="4230" w:type="dxa"/>
          </w:tcPr>
          <w:p w:rsidR="0036768E" w:rsidRPr="00BD1CA0" w:rsidRDefault="0036768E" w:rsidP="004E7D07">
            <w:pPr>
              <w:rPr>
                <w:rFonts w:ascii="Arial Narrow" w:hAnsi="Arial Narrow"/>
              </w:rPr>
            </w:pPr>
          </w:p>
        </w:tc>
      </w:tr>
    </w:tbl>
    <w:p w:rsidR="004E7D07" w:rsidRDefault="004E7D07" w:rsidP="004E7D07">
      <w:pPr>
        <w:contextualSpacing/>
        <w:rPr>
          <w:rFonts w:ascii="Arial Narrow" w:hAnsi="Arial Narrow"/>
          <w:b/>
        </w:rPr>
      </w:pPr>
    </w:p>
    <w:p w:rsidR="004E7D07" w:rsidRDefault="004E7D07" w:rsidP="004E7D07">
      <w:pPr>
        <w:contextualSpacing/>
        <w:rPr>
          <w:rFonts w:ascii="Arial Narrow" w:hAnsi="Arial Narrow"/>
          <w:b/>
        </w:rPr>
      </w:pPr>
    </w:p>
    <w:p w:rsidR="00FB202D" w:rsidRPr="004E7D07" w:rsidRDefault="004E7D07" w:rsidP="004E7D07">
      <w:pPr>
        <w:contextualSpacing/>
        <w:rPr>
          <w:rFonts w:ascii="Arial Narrow" w:hAnsi="Arial Narrow"/>
          <w:b/>
        </w:rPr>
      </w:pPr>
      <w:r w:rsidRPr="004E7D07">
        <w:rPr>
          <w:rFonts w:ascii="Arial Narrow" w:hAnsi="Arial Narrow"/>
          <w:b/>
        </w:rPr>
        <w:t>(A</w:t>
      </w:r>
      <w:r>
        <w:rPr>
          <w:rFonts w:ascii="Arial Narrow" w:hAnsi="Arial Narrow"/>
          <w:b/>
        </w:rPr>
        <w:t xml:space="preserve">) </w:t>
      </w:r>
      <w:r w:rsidR="00FB202D" w:rsidRPr="004E7D07">
        <w:rPr>
          <w:rFonts w:ascii="Arial Narrow" w:hAnsi="Arial Narrow"/>
          <w:b/>
        </w:rPr>
        <w:t xml:space="preserve">Directions: With a partner, read each example and decide which form of government is being described. </w:t>
      </w:r>
    </w:p>
    <w:p w:rsidR="004E7D07" w:rsidRDefault="004E7D07" w:rsidP="004E7D07">
      <w:pPr>
        <w:rPr>
          <w:b/>
        </w:rPr>
      </w:pPr>
    </w:p>
    <w:p w:rsidR="004E7D07" w:rsidRPr="004E7D07" w:rsidRDefault="004E7D07" w:rsidP="004E7D0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(B) </w:t>
      </w:r>
      <w:r w:rsidRPr="004E7D07">
        <w:rPr>
          <w:rFonts w:ascii="Arial Narrow" w:hAnsi="Arial Narrow"/>
          <w:b/>
        </w:rPr>
        <w:t xml:space="preserve">Directions: With a partner, read each example and decide which </w:t>
      </w:r>
      <w:r>
        <w:rPr>
          <w:rFonts w:ascii="Arial Narrow" w:hAnsi="Arial Narrow"/>
          <w:b/>
        </w:rPr>
        <w:t>system</w:t>
      </w:r>
      <w:r w:rsidRPr="004E7D07">
        <w:rPr>
          <w:rFonts w:ascii="Arial Narrow" w:hAnsi="Arial Narrow"/>
          <w:b/>
        </w:rPr>
        <w:t xml:space="preserve"> of government is being described.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230"/>
      </w:tblGrid>
      <w:tr w:rsidR="0036768E" w:rsidRPr="000A0721" w:rsidTr="000A0721">
        <w:tc>
          <w:tcPr>
            <w:tcW w:w="6318" w:type="dxa"/>
          </w:tcPr>
          <w:p w:rsidR="0036768E" w:rsidRPr="000A0721" w:rsidRDefault="0036768E">
            <w:pPr>
              <w:rPr>
                <w:rFonts w:ascii="Arial Narrow" w:hAnsi="Arial Narrow"/>
                <w:b/>
              </w:rPr>
            </w:pPr>
            <w:r w:rsidRPr="000A0721">
              <w:rPr>
                <w:rFonts w:ascii="Arial Narrow" w:hAnsi="Arial Narrow"/>
                <w:b/>
              </w:rPr>
              <w:t>Example:</w:t>
            </w:r>
          </w:p>
        </w:tc>
        <w:tc>
          <w:tcPr>
            <w:tcW w:w="4230" w:type="dxa"/>
          </w:tcPr>
          <w:p w:rsidR="0036768E" w:rsidRPr="000A0721" w:rsidRDefault="0036768E">
            <w:pPr>
              <w:rPr>
                <w:rFonts w:ascii="Arial Narrow" w:hAnsi="Arial Narrow"/>
                <w:b/>
              </w:rPr>
            </w:pPr>
            <w:r w:rsidRPr="000A0721">
              <w:rPr>
                <w:rFonts w:ascii="Arial Narrow" w:hAnsi="Arial Narrow"/>
                <w:b/>
              </w:rPr>
              <w:t xml:space="preserve">System of Government: </w:t>
            </w:r>
          </w:p>
        </w:tc>
      </w:tr>
      <w:tr w:rsidR="0036768E" w:rsidRPr="0036768E" w:rsidTr="000A0721">
        <w:tc>
          <w:tcPr>
            <w:tcW w:w="6318" w:type="dxa"/>
          </w:tcPr>
          <w:p w:rsidR="0036768E" w:rsidRPr="0036768E" w:rsidRDefault="0036768E" w:rsidP="003676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0"/>
                <w:szCs w:val="24"/>
              </w:rPr>
            </w:pP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In New Zealand, the government is led by the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-BoldMT"/>
                <w:bCs/>
                <w:sz w:val="20"/>
                <w:szCs w:val="24"/>
              </w:rPr>
              <w:t>legislature</w:t>
            </w:r>
            <w:r w:rsidRPr="0036768E">
              <w:rPr>
                <w:rFonts w:ascii="Arial Narrow" w:eastAsiaTheme="minorHAnsi" w:hAnsi="Arial Narrow" w:cs="Arial-BoldMT"/>
                <w:b/>
                <w:bCs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-BoldMT"/>
                <w:bCs/>
                <w:sz w:val="20"/>
                <w:szCs w:val="24"/>
              </w:rPr>
              <w:t>(lawmaking body)</w:t>
            </w:r>
            <w:r w:rsidRPr="0036768E">
              <w:rPr>
                <w:rFonts w:ascii="Arial Narrow" w:eastAsiaTheme="minorHAnsi" w:hAnsi="Arial Narrow" w:cs="Arial-BoldMT"/>
                <w:b/>
                <w:bCs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and the </w:t>
            </w:r>
            <w:r w:rsidRPr="0036768E">
              <w:rPr>
                <w:rFonts w:ascii="Arial Narrow" w:eastAsiaTheme="minorHAnsi" w:hAnsi="Arial Narrow" w:cs="Arial-BoldMT"/>
                <w:bCs/>
                <w:sz w:val="20"/>
                <w:szCs w:val="24"/>
              </w:rPr>
              <w:t>Prime Minister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. The Prime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Minister is the leader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of the political party that has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a </w:t>
            </w:r>
            <w:bookmarkStart w:id="0" w:name="_GoBack"/>
            <w:bookmarkEnd w:id="0"/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majority of seats in the legislature.</w:t>
            </w:r>
          </w:p>
        </w:tc>
        <w:tc>
          <w:tcPr>
            <w:tcW w:w="4230" w:type="dxa"/>
          </w:tcPr>
          <w:p w:rsidR="0036768E" w:rsidRPr="0036768E" w:rsidRDefault="0036768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6768E" w:rsidRPr="0036768E" w:rsidTr="000A0721">
        <w:tc>
          <w:tcPr>
            <w:tcW w:w="6318" w:type="dxa"/>
          </w:tcPr>
          <w:p w:rsidR="0036768E" w:rsidRPr="0036768E" w:rsidRDefault="0036768E" w:rsidP="003676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0"/>
                <w:szCs w:val="24"/>
              </w:rPr>
            </w:pP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Argentina’s federal government has an elected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President, National Congress, and Supreme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Court. Argentina has provinces, or states, that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have their own constitutions and legislative,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executive, a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nd judicial powers. The central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government shares powers with those provinces.</w:t>
            </w:r>
          </w:p>
        </w:tc>
        <w:tc>
          <w:tcPr>
            <w:tcW w:w="4230" w:type="dxa"/>
          </w:tcPr>
          <w:p w:rsidR="0036768E" w:rsidRPr="0036768E" w:rsidRDefault="0036768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6768E" w:rsidRPr="0036768E" w:rsidTr="000A0721">
        <w:tc>
          <w:tcPr>
            <w:tcW w:w="6318" w:type="dxa"/>
          </w:tcPr>
          <w:p w:rsidR="0036768E" w:rsidRPr="0036768E" w:rsidRDefault="0036768E" w:rsidP="003676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0"/>
                <w:szCs w:val="24"/>
              </w:rPr>
            </w:pP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The European Union is a partnership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a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mong 27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countries in Europe. Everything that happens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among those countries comes f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rom treaties</w:t>
            </w:r>
            <w:r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(formal agreements) agreed to by the members.</w:t>
            </w:r>
          </w:p>
        </w:tc>
        <w:tc>
          <w:tcPr>
            <w:tcW w:w="4230" w:type="dxa"/>
          </w:tcPr>
          <w:p w:rsidR="0036768E" w:rsidRPr="0036768E" w:rsidRDefault="0036768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6768E" w:rsidRPr="0036768E" w:rsidTr="000A0721">
        <w:tc>
          <w:tcPr>
            <w:tcW w:w="6318" w:type="dxa"/>
          </w:tcPr>
          <w:p w:rsidR="0036768E" w:rsidRPr="0036768E" w:rsidRDefault="0036768E" w:rsidP="003676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Japan has a strong central government. The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legislative branch in Japan is called The Diet. The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executive branch is led by the Prime Minister and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lower ministers. The 47 provinces, or states, of</w:t>
            </w:r>
            <w:r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Japan rely on the central government for money</w:t>
            </w:r>
            <w:r>
              <w:rPr>
                <w:rFonts w:ascii="Arial Narrow" w:eastAsiaTheme="minorHAnsi" w:hAnsi="Arial Narrow" w:cs="ArialMT"/>
                <w:sz w:val="20"/>
                <w:szCs w:val="24"/>
              </w:rPr>
              <w:t xml:space="preserve"> 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and support</w:t>
            </w:r>
            <w:r w:rsidR="004E7D07">
              <w:rPr>
                <w:rFonts w:ascii="Arial Narrow" w:eastAsiaTheme="minorHAnsi" w:hAnsi="Arial Narrow" w:cs="ArialMT"/>
                <w:sz w:val="20"/>
                <w:szCs w:val="24"/>
              </w:rPr>
              <w:t xml:space="preserve"> and have no power whatsoever</w:t>
            </w:r>
            <w:r w:rsidRPr="0036768E">
              <w:rPr>
                <w:rFonts w:ascii="Arial Narrow" w:eastAsiaTheme="minorHAnsi" w:hAnsi="Arial Narrow" w:cs="ArialMT"/>
                <w:sz w:val="20"/>
                <w:szCs w:val="24"/>
              </w:rPr>
              <w:t>.</w:t>
            </w:r>
          </w:p>
        </w:tc>
        <w:tc>
          <w:tcPr>
            <w:tcW w:w="4230" w:type="dxa"/>
          </w:tcPr>
          <w:p w:rsidR="0036768E" w:rsidRPr="0036768E" w:rsidRDefault="0036768E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6768E" w:rsidRPr="00FB202D" w:rsidRDefault="0036768E" w:rsidP="004E7D07">
      <w:pPr>
        <w:rPr>
          <w:b/>
        </w:rPr>
      </w:pPr>
    </w:p>
    <w:sectPr w:rsidR="0036768E" w:rsidRPr="00FB202D" w:rsidSect="007A3D22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05" w:rsidRDefault="00027E05" w:rsidP="00027E05">
      <w:pPr>
        <w:spacing w:after="0" w:line="240" w:lineRule="auto"/>
      </w:pPr>
      <w:r>
        <w:separator/>
      </w:r>
    </w:p>
  </w:endnote>
  <w:endnote w:type="continuationSeparator" w:id="0">
    <w:p w:rsidR="00027E05" w:rsidRDefault="00027E05" w:rsidP="000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05" w:rsidRDefault="00027E05" w:rsidP="00027E05">
      <w:pPr>
        <w:spacing w:after="0" w:line="240" w:lineRule="auto"/>
      </w:pPr>
      <w:r>
        <w:separator/>
      </w:r>
    </w:p>
  </w:footnote>
  <w:footnote w:type="continuationSeparator" w:id="0">
    <w:p w:rsidR="00027E05" w:rsidRDefault="00027E05" w:rsidP="000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05" w:rsidRDefault="00DE418A">
    <w:pPr>
      <w:pStyle w:val="Header"/>
    </w:pPr>
    <w:r>
      <w:t>Forms of Government</w:t>
    </w:r>
    <w:r w:rsidR="00027E05">
      <w:t xml:space="preserve"> Unit Notes</w:t>
    </w:r>
    <w:r w:rsidR="00027E05">
      <w:tab/>
    </w:r>
    <w:r w:rsidR="00027E05">
      <w:tab/>
    </w:r>
    <w:proofErr w:type="spellStart"/>
    <w:r w:rsidR="00027E05">
      <w:t>Name</w:t>
    </w:r>
    <w:proofErr w:type="gramStart"/>
    <w:r w:rsidR="00027E05">
      <w:t>:_</w:t>
    </w:r>
    <w:proofErr w:type="gramEnd"/>
    <w:r w:rsidR="00027E05">
      <w:t>____________________Date</w:t>
    </w:r>
    <w:proofErr w:type="spellEnd"/>
    <w:r w:rsidR="00027E05">
      <w:t>:___________</w:t>
    </w:r>
    <w:r w:rsidR="00583A1C">
      <w:t xml:space="preserve"> Pd._________</w:t>
    </w:r>
  </w:p>
  <w:p w:rsidR="00027E05" w:rsidRDefault="00027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4"/>
    <w:multiLevelType w:val="hybridMultilevel"/>
    <w:tmpl w:val="405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3D8A"/>
    <w:multiLevelType w:val="hybridMultilevel"/>
    <w:tmpl w:val="F91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033"/>
    <w:multiLevelType w:val="hybridMultilevel"/>
    <w:tmpl w:val="FB48C3E4"/>
    <w:lvl w:ilvl="0" w:tplc="43E66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826"/>
    <w:multiLevelType w:val="hybridMultilevel"/>
    <w:tmpl w:val="A1C46A7A"/>
    <w:lvl w:ilvl="0" w:tplc="2A14A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3790"/>
    <w:multiLevelType w:val="hybridMultilevel"/>
    <w:tmpl w:val="5A1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6C27"/>
    <w:multiLevelType w:val="hybridMultilevel"/>
    <w:tmpl w:val="F91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32A5"/>
    <w:multiLevelType w:val="hybridMultilevel"/>
    <w:tmpl w:val="342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4CF1"/>
    <w:multiLevelType w:val="hybridMultilevel"/>
    <w:tmpl w:val="DA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93AAE"/>
    <w:multiLevelType w:val="hybridMultilevel"/>
    <w:tmpl w:val="1048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604F9"/>
    <w:multiLevelType w:val="hybridMultilevel"/>
    <w:tmpl w:val="F91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5E4E"/>
    <w:multiLevelType w:val="hybridMultilevel"/>
    <w:tmpl w:val="C570E22E"/>
    <w:lvl w:ilvl="0" w:tplc="BE0C62E8">
      <w:start w:val="1"/>
      <w:numFmt w:val="decimal"/>
      <w:lvlText w:val="%1."/>
      <w:lvlJc w:val="left"/>
      <w:pPr>
        <w:ind w:left="720" w:hanging="360"/>
      </w:pPr>
      <w:rPr>
        <w:rFonts w:cs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C5B9B"/>
    <w:multiLevelType w:val="hybridMultilevel"/>
    <w:tmpl w:val="249CBF7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675160A8"/>
    <w:multiLevelType w:val="hybridMultilevel"/>
    <w:tmpl w:val="BDE21B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AF90EB9"/>
    <w:multiLevelType w:val="hybridMultilevel"/>
    <w:tmpl w:val="03C4CE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6CC333D2"/>
    <w:multiLevelType w:val="hybridMultilevel"/>
    <w:tmpl w:val="797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A3CD8"/>
    <w:multiLevelType w:val="hybridMultilevel"/>
    <w:tmpl w:val="E6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2"/>
    <w:rsid w:val="00005501"/>
    <w:rsid w:val="00027E05"/>
    <w:rsid w:val="000A0721"/>
    <w:rsid w:val="000F282B"/>
    <w:rsid w:val="000F5C90"/>
    <w:rsid w:val="00114C86"/>
    <w:rsid w:val="001C03F9"/>
    <w:rsid w:val="00210BDD"/>
    <w:rsid w:val="0026756C"/>
    <w:rsid w:val="00303EE9"/>
    <w:rsid w:val="0036768E"/>
    <w:rsid w:val="003B57C0"/>
    <w:rsid w:val="00406EA3"/>
    <w:rsid w:val="00413EE3"/>
    <w:rsid w:val="004545AD"/>
    <w:rsid w:val="00465358"/>
    <w:rsid w:val="004E7D07"/>
    <w:rsid w:val="00583A1C"/>
    <w:rsid w:val="00615385"/>
    <w:rsid w:val="007A3D22"/>
    <w:rsid w:val="007C0E9B"/>
    <w:rsid w:val="0082388D"/>
    <w:rsid w:val="00A3299E"/>
    <w:rsid w:val="00B96310"/>
    <w:rsid w:val="00BD0A7D"/>
    <w:rsid w:val="00D05DFD"/>
    <w:rsid w:val="00D76576"/>
    <w:rsid w:val="00DE4036"/>
    <w:rsid w:val="00DE418A"/>
    <w:rsid w:val="00EA231B"/>
    <w:rsid w:val="00F93103"/>
    <w:rsid w:val="00FB202D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B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B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2016-08-29T13:03:00Z</cp:lastPrinted>
  <dcterms:created xsi:type="dcterms:W3CDTF">2016-08-29T01:12:00Z</dcterms:created>
  <dcterms:modified xsi:type="dcterms:W3CDTF">2016-08-29T14:26:00Z</dcterms:modified>
</cp:coreProperties>
</file>